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B27C1" w:rsidRDefault="00F51B72">
      <w:pPr>
        <w:spacing w:after="12" w:line="259" w:lineRule="auto"/>
        <w:ind w:left="8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720840" cy="1084580"/>
                <wp:effectExtent l="0" t="0" r="0" b="0"/>
                <wp:docPr id="886" name="Group 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1084580"/>
                          <a:chOff x="0" y="0"/>
                          <a:chExt cx="6720840" cy="1084580"/>
                        </a:xfrm>
                      </wpg:grpSpPr>
                      <pic:pic xmlns:pic="http://schemas.openxmlformats.org/drawingml/2006/picture">
                        <pic:nvPicPr>
                          <pic:cNvPr id="1610" name="Picture 1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48354" y="75438"/>
                            <a:ext cx="2871216" cy="798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9" name="Picture 16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3301" y="-3809"/>
                            <a:ext cx="3724656" cy="10881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6" style="width:529.2pt;height:85.4pt;mso-position-horizontal-relative:char;mso-position-vertical-relative:line" coordsize="67208,10845">
                <v:shape id="Picture 1610" style="position:absolute;width:28712;height:7985;left:38483;top:754;" filled="f">
                  <v:imagedata r:id="rId6"/>
                </v:shape>
                <v:shape id="Picture 1609" style="position:absolute;width:37246;height:10881;left:-33;top:-38;" filled="f">
                  <v:imagedata r:id="rId7"/>
                </v:shape>
              </v:group>
            </w:pict>
          </mc:Fallback>
        </mc:AlternateContent>
      </w:r>
    </w:p>
    <w:p w:rsidR="008B27C1" w:rsidRDefault="00F51B72">
      <w:pPr>
        <w:spacing w:after="126" w:line="259" w:lineRule="auto"/>
        <w:ind w:left="0" w:right="0" w:firstLine="0"/>
        <w:jc w:val="left"/>
      </w:pPr>
      <w:r>
        <w:rPr>
          <w:color w:val="000000"/>
          <w:sz w:val="24"/>
        </w:rPr>
        <w:t xml:space="preserve">   </w:t>
      </w:r>
    </w:p>
    <w:p w:rsidR="008B27C1" w:rsidRDefault="00F51B72">
      <w:pPr>
        <w:spacing w:after="0" w:line="259" w:lineRule="auto"/>
        <w:ind w:left="3" w:right="0" w:firstLine="0"/>
        <w:jc w:val="center"/>
      </w:pPr>
      <w:r>
        <w:rPr>
          <w:b/>
          <w:color w:val="000000"/>
          <w:sz w:val="40"/>
        </w:rPr>
        <w:t>Dementia Friendly Walk</w:t>
      </w:r>
    </w:p>
    <w:p w:rsidR="008B27C1" w:rsidRDefault="00F51B72">
      <w:pPr>
        <w:spacing w:after="317" w:line="259" w:lineRule="auto"/>
        <w:ind w:left="1" w:right="0" w:firstLine="0"/>
        <w:jc w:val="center"/>
      </w:pPr>
      <w:r>
        <w:rPr>
          <w:b/>
          <w:color w:val="000000"/>
          <w:sz w:val="36"/>
        </w:rPr>
        <w:t>For people living with dementia, their family and friends</w:t>
      </w:r>
    </w:p>
    <w:p w:rsidR="008B27C1" w:rsidRDefault="00F51B72">
      <w:pPr>
        <w:spacing w:after="292" w:line="240" w:lineRule="auto"/>
        <w:ind w:left="0" w:right="9" w:firstLine="0"/>
      </w:pPr>
      <w:r>
        <w:rPr>
          <w:b/>
          <w:color w:val="333333"/>
          <w:sz w:val="28"/>
        </w:rPr>
        <w:t>Walking for Health</w:t>
      </w:r>
      <w:r>
        <w:rPr>
          <w:color w:val="333333"/>
          <w:sz w:val="28"/>
        </w:rPr>
        <w:t xml:space="preserve"> </w:t>
      </w:r>
      <w:r>
        <w:rPr>
          <w:color w:val="49413D"/>
        </w:rPr>
        <w:t>is England’s largest network of health walks with over 400 active schemes, helping people across the country to lead a more active lifestyle.  Walking is one of the simplest and most effective forms of exercise you can do. It’s easy to get started, and wit</w:t>
      </w:r>
      <w:r>
        <w:rPr>
          <w:color w:val="49413D"/>
        </w:rPr>
        <w:t>h a choice of walks locally in the Brixham there are options for you to get walking today and meet local people.</w:t>
      </w:r>
    </w:p>
    <w:p w:rsidR="008B27C1" w:rsidRDefault="00F51B72">
      <w:pPr>
        <w:spacing w:after="0" w:line="259" w:lineRule="auto"/>
        <w:ind w:left="7" w:right="0" w:firstLine="0"/>
        <w:jc w:val="center"/>
      </w:pPr>
      <w:r>
        <w:rPr>
          <w:b/>
          <w:color w:val="000000"/>
          <w:sz w:val="28"/>
        </w:rPr>
        <w:t>Brixham Bay Walks</w:t>
      </w:r>
    </w:p>
    <w:p w:rsidR="008B27C1" w:rsidRDefault="00F51B72">
      <w:pPr>
        <w:spacing w:after="350"/>
        <w:ind w:left="-5" w:right="-13"/>
      </w:pPr>
      <w:r>
        <w:t>The Friends of Brixham Library have agreed to be the sponsoring organisation for the weekly Brixham walks for ‘Walking for He</w:t>
      </w:r>
      <w:r>
        <w:t xml:space="preserve">alth’. All walks are </w:t>
      </w:r>
      <w:proofErr w:type="gramStart"/>
      <w:r>
        <w:t>free</w:t>
      </w:r>
      <w:proofErr w:type="gramEnd"/>
      <w:r>
        <w:t xml:space="preserve"> and it is not necessary to become a Friend of Brixham Library to join the walks on a regular basis. Under the new banner of Brixham Bay Walks they will continue to encourage this regular activity both as a social opportunity and a</w:t>
      </w:r>
      <w:r>
        <w:t xml:space="preserve">s a help and an encouragement on the route back to good and better health. The walks have been in existence for about 15 years and </w:t>
      </w:r>
      <w:proofErr w:type="spellStart"/>
      <w:r>
        <w:t>FoBL’s</w:t>
      </w:r>
      <w:proofErr w:type="spellEnd"/>
      <w:r>
        <w:t xml:space="preserve"> involvement is to ensure that they continue for the benefit of the people of the Brixham area.</w:t>
      </w:r>
    </w:p>
    <w:p w:rsidR="008B27C1" w:rsidRDefault="00F51B72">
      <w:pPr>
        <w:ind w:left="-5" w:right="-13"/>
      </w:pPr>
      <w:r>
        <w:t>Brixham Bay Walks invit</w:t>
      </w:r>
      <w:r>
        <w:t xml:space="preserve">e people living with dementia and their carers to join us on a fortnightly gentle friendly walk round the harbour.  The walk will be at your pace with as many stops as required for the less active. We meet near the </w:t>
      </w:r>
      <w:r>
        <w:rPr>
          <w:b/>
        </w:rPr>
        <w:t>Golden Hind ship under the Old Fish Marke</w:t>
      </w:r>
      <w:r>
        <w:rPr>
          <w:b/>
        </w:rPr>
        <w:t>t at 10.30 am every other Friday</w:t>
      </w:r>
      <w:r>
        <w:t xml:space="preserve"> morning. We then walk round the harbour towards the new ‘Man &amp; Boy’ statue and then onto the Breakwater Car park and back into town.  The walk is flat and wheelchair friendly with plenty of benches to pause and take in the </w:t>
      </w:r>
      <w:r>
        <w:t xml:space="preserve">views.  As walks are as much about social interaction as exercise, we will finish the walk at the ‘Brixham Steam Packet’ on Fore Street </w:t>
      </w:r>
      <w:proofErr w:type="gramStart"/>
      <w:r>
        <w:t>were</w:t>
      </w:r>
      <w:proofErr w:type="gramEnd"/>
      <w:r>
        <w:t xml:space="preserve"> we can all enjoy a cup of tea or coffee in the ‘Chart Room Café’.</w:t>
      </w:r>
    </w:p>
    <w:tbl>
      <w:tblPr>
        <w:tblStyle w:val="TableGrid"/>
        <w:tblW w:w="974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08"/>
        <w:gridCol w:w="1390"/>
        <w:gridCol w:w="5700"/>
        <w:gridCol w:w="530"/>
      </w:tblGrid>
      <w:tr w:rsidR="008B27C1">
        <w:trPr>
          <w:trHeight w:val="49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B27C1" w:rsidRDefault="008B27C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27C1" w:rsidRDefault="008B27C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B27C1" w:rsidRDefault="008B27C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B27C1" w:rsidRDefault="00F51B7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Dates for your </w:t>
            </w:r>
            <w:proofErr w:type="spellStart"/>
            <w:r>
              <w:rPr>
                <w:b/>
                <w:sz w:val="28"/>
              </w:rPr>
              <w:t>calender</w:t>
            </w:r>
            <w:proofErr w:type="spellEnd"/>
            <w:r>
              <w:rPr>
                <w:b/>
                <w:sz w:val="28"/>
              </w:rPr>
              <w:t xml:space="preserve"> in 2019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B27C1" w:rsidRDefault="008B27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27C1">
        <w:trPr>
          <w:trHeight w:val="6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7C1" w:rsidRDefault="00F51B7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January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7C1" w:rsidRDefault="00F51B7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>11</w:t>
            </w:r>
            <w:r>
              <w:rPr>
                <w:b/>
                <w:sz w:val="16"/>
              </w:rPr>
              <w:t>th.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7C1" w:rsidRDefault="00F51B7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>25</w:t>
            </w:r>
            <w:r>
              <w:rPr>
                <w:b/>
                <w:sz w:val="25"/>
                <w:vertAlign w:val="superscript"/>
              </w:rPr>
              <w:t>th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7C1" w:rsidRDefault="00F51B72">
            <w:pPr>
              <w:tabs>
                <w:tab w:val="center" w:pos="1623"/>
                <w:tab w:val="center" w:pos="2421"/>
                <w:tab w:val="center" w:pos="3975"/>
                <w:tab w:val="center" w:pos="5169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>February</w:t>
            </w:r>
            <w:r>
              <w:rPr>
                <w:b/>
                <w:sz w:val="28"/>
              </w:rPr>
              <w:tab/>
              <w:t>8</w:t>
            </w:r>
            <w:r>
              <w:rPr>
                <w:b/>
                <w:sz w:val="25"/>
                <w:vertAlign w:val="superscript"/>
              </w:rPr>
              <w:t>th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  <w:t>22</w:t>
            </w:r>
            <w:r>
              <w:rPr>
                <w:b/>
                <w:sz w:val="25"/>
                <w:vertAlign w:val="superscript"/>
              </w:rPr>
              <w:t>nd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  <w:t>March</w:t>
            </w:r>
            <w:r>
              <w:rPr>
                <w:b/>
                <w:sz w:val="28"/>
              </w:rPr>
              <w:tab/>
              <w:t>8</w:t>
            </w:r>
            <w:r>
              <w:rPr>
                <w:b/>
                <w:sz w:val="25"/>
                <w:vertAlign w:val="superscript"/>
              </w:rPr>
              <w:t>th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7C1" w:rsidRDefault="00F51B7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>22</w:t>
            </w:r>
            <w:r>
              <w:rPr>
                <w:b/>
                <w:sz w:val="25"/>
                <w:vertAlign w:val="superscript"/>
              </w:rPr>
              <w:t>nd</w:t>
            </w:r>
            <w:r>
              <w:rPr>
                <w:b/>
                <w:sz w:val="28"/>
              </w:rPr>
              <w:t>.</w:t>
            </w:r>
          </w:p>
        </w:tc>
      </w:tr>
      <w:tr w:rsidR="008B27C1">
        <w:trPr>
          <w:trHeight w:val="6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7C1" w:rsidRDefault="00F51B7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7C1" w:rsidRDefault="00F51B7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>5</w:t>
            </w:r>
            <w:r>
              <w:rPr>
                <w:b/>
                <w:sz w:val="16"/>
              </w:rPr>
              <w:t>th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7C1" w:rsidRDefault="00F51B7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>19</w:t>
            </w:r>
            <w:r>
              <w:rPr>
                <w:b/>
                <w:sz w:val="25"/>
                <w:vertAlign w:val="superscript"/>
              </w:rPr>
              <w:t>th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7C1" w:rsidRDefault="00F51B72">
            <w:pPr>
              <w:tabs>
                <w:tab w:val="center" w:pos="1693"/>
                <w:tab w:val="center" w:pos="2389"/>
                <w:tab w:val="center" w:pos="3861"/>
                <w:tab w:val="right" w:pos="570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>May 3</w:t>
            </w:r>
            <w:r>
              <w:rPr>
                <w:b/>
                <w:sz w:val="25"/>
                <w:vertAlign w:val="superscript"/>
              </w:rPr>
              <w:t>rd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  <w:t>17</w:t>
            </w:r>
            <w:r>
              <w:rPr>
                <w:b/>
                <w:sz w:val="25"/>
                <w:vertAlign w:val="superscript"/>
              </w:rPr>
              <w:t>th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  <w:t>31</w:t>
            </w:r>
            <w:r>
              <w:rPr>
                <w:b/>
                <w:sz w:val="25"/>
                <w:vertAlign w:val="superscript"/>
              </w:rPr>
              <w:t>st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  <w:t>June</w:t>
            </w:r>
            <w:r>
              <w:rPr>
                <w:b/>
                <w:sz w:val="28"/>
              </w:rPr>
              <w:tab/>
              <w:t>14</w:t>
            </w:r>
            <w:r>
              <w:rPr>
                <w:b/>
                <w:sz w:val="25"/>
                <w:vertAlign w:val="superscript"/>
              </w:rPr>
              <w:t>th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7C1" w:rsidRDefault="00F51B7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>28</w:t>
            </w:r>
            <w:r>
              <w:rPr>
                <w:b/>
                <w:sz w:val="25"/>
                <w:vertAlign w:val="superscript"/>
              </w:rPr>
              <w:t>th</w:t>
            </w:r>
            <w:r>
              <w:rPr>
                <w:b/>
                <w:sz w:val="28"/>
              </w:rPr>
              <w:t>.</w:t>
            </w:r>
          </w:p>
        </w:tc>
      </w:tr>
      <w:tr w:rsidR="008B27C1">
        <w:trPr>
          <w:trHeight w:val="6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7C1" w:rsidRDefault="00F51B7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>July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7C1" w:rsidRDefault="00F51B7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>12</w:t>
            </w:r>
            <w:r>
              <w:rPr>
                <w:b/>
                <w:sz w:val="25"/>
                <w:vertAlign w:val="superscript"/>
              </w:rPr>
              <w:t>th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7C1" w:rsidRDefault="00F51B7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>26</w:t>
            </w:r>
            <w:r>
              <w:rPr>
                <w:b/>
                <w:sz w:val="25"/>
                <w:vertAlign w:val="superscript"/>
              </w:rPr>
              <w:t>th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7C1" w:rsidRDefault="00F51B72">
            <w:pPr>
              <w:tabs>
                <w:tab w:val="center" w:pos="1623"/>
                <w:tab w:val="center" w:pos="2412"/>
                <w:tab w:val="center" w:pos="446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>August</w:t>
            </w:r>
            <w:r>
              <w:rPr>
                <w:b/>
                <w:sz w:val="28"/>
              </w:rPr>
              <w:tab/>
              <w:t>9</w:t>
            </w:r>
            <w:r>
              <w:rPr>
                <w:b/>
                <w:sz w:val="25"/>
                <w:vertAlign w:val="superscript"/>
              </w:rPr>
              <w:t>th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  <w:t>23</w:t>
            </w:r>
            <w:r>
              <w:rPr>
                <w:b/>
                <w:sz w:val="25"/>
                <w:vertAlign w:val="superscript"/>
              </w:rPr>
              <w:t>rd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  <w:t>September 6</w:t>
            </w:r>
            <w:r>
              <w:rPr>
                <w:b/>
                <w:sz w:val="25"/>
                <w:vertAlign w:val="superscript"/>
              </w:rPr>
              <w:t>th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7C1" w:rsidRDefault="00F51B7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>20</w:t>
            </w:r>
            <w:r>
              <w:rPr>
                <w:b/>
                <w:sz w:val="25"/>
                <w:vertAlign w:val="superscript"/>
              </w:rPr>
              <w:t>th</w:t>
            </w:r>
            <w:r>
              <w:rPr>
                <w:b/>
                <w:sz w:val="28"/>
              </w:rPr>
              <w:t>.</w:t>
            </w:r>
          </w:p>
        </w:tc>
      </w:tr>
      <w:tr w:rsidR="008B27C1">
        <w:trPr>
          <w:trHeight w:val="49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C1" w:rsidRDefault="00F51B7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>October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C1" w:rsidRDefault="00F51B7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>4</w:t>
            </w:r>
            <w:r>
              <w:rPr>
                <w:b/>
                <w:sz w:val="16"/>
              </w:rPr>
              <w:t>th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C1" w:rsidRDefault="00F51B7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>18</w:t>
            </w:r>
            <w:r>
              <w:rPr>
                <w:b/>
                <w:sz w:val="25"/>
                <w:vertAlign w:val="superscript"/>
              </w:rPr>
              <w:t>th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C1" w:rsidRDefault="00F51B72">
            <w:pPr>
              <w:tabs>
                <w:tab w:val="center" w:pos="2403"/>
                <w:tab w:val="center" w:pos="3111"/>
                <w:tab w:val="right" w:pos="570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>November 1</w:t>
            </w:r>
            <w:r>
              <w:rPr>
                <w:b/>
                <w:sz w:val="25"/>
                <w:vertAlign w:val="superscript"/>
              </w:rPr>
              <w:t>st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  <w:t>15</w:t>
            </w:r>
            <w:r>
              <w:rPr>
                <w:b/>
                <w:sz w:val="25"/>
                <w:vertAlign w:val="superscript"/>
              </w:rPr>
              <w:t>th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  <w:t>29</w:t>
            </w:r>
            <w:r>
              <w:rPr>
                <w:b/>
                <w:sz w:val="25"/>
                <w:vertAlign w:val="superscript"/>
              </w:rPr>
              <w:t>th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December 13</w:t>
            </w:r>
            <w:r>
              <w:rPr>
                <w:b/>
                <w:sz w:val="25"/>
                <w:vertAlign w:val="superscript"/>
              </w:rPr>
              <w:t>th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B27C1" w:rsidRDefault="008B27C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51B72" w:rsidRDefault="00F51B72"/>
    <w:sectPr w:rsidR="00F51B72">
      <w:pgSz w:w="11900" w:h="16840"/>
      <w:pgMar w:top="1110" w:right="567" w:bottom="144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7C1"/>
    <w:rsid w:val="006E6B4D"/>
    <w:rsid w:val="008B27C1"/>
    <w:rsid w:val="00F5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AD7186-87CF-4C88-A38F-4065E247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8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141412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O'Donnell</dc:creator>
  <cp:keywords/>
  <cp:lastModifiedBy>Graham Offler</cp:lastModifiedBy>
  <cp:revision>2</cp:revision>
  <dcterms:created xsi:type="dcterms:W3CDTF">2018-12-03T09:25:00Z</dcterms:created>
  <dcterms:modified xsi:type="dcterms:W3CDTF">2018-12-03T09:25:00Z</dcterms:modified>
</cp:coreProperties>
</file>